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[Commercial Fit-Out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Metal stud partition, drywall both sides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9–16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$5,400.00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Suspended acoustic ceiling, 2×2 grid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4–8 / sq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1,800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$7,200.00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Carpet tile or LVT flooring, installed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4–9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1,800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$7,200.00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Doors, frames and hardware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900–2,200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each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$5,400.00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Lighting and power changes (licensed electrician)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6,000–20,000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lot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$6,000.00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$6,000.00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After-hours work premium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400–1,200 / night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night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$2,000.00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 20% deposit on signing secures long-lead items such as doors and glazing; progress billing follows at framing, ceilings and finishes, with 5–10% retained until the punch list is closed. Changes are priced in writing and signed before the work.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$33,200.00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$33,200.00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(20%)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$6,640.00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$26,560.00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Fit-Out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