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[SEO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Technical SEO audit: crawl, speed, indexing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500–2,500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Keyword research and content plan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400–1,500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On-page fixes: titles, headings, internal links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30–80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page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SEO article, 1,500–2,000 words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150–500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article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Google Business Profile setup and posts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100–300 / month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month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Monthly ranking and traffic report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month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Audit and keyword research are 50% upfront and the rest on delivery; monthly work is billed in advance with a six-month minimum and 30 days notice after that. Rankings and traffic depend on search engines and are not guaranteed.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$2,700.00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