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件名：［原状回復工事］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¥262,900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造作家具・間仕切り撤去、ビス穴補修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参考：5万〜30万円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クロス張替え（量産品）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参考：800〜1,200円／㎡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¥64,000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床張替え（クッションフロア・タイルカーペット）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参考：3千〜6千円／㎡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設備部品交換（照明・水栓パッキン・網戸・鍵）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参考：2万〜8万円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退去後ハウスクリーニング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参考：3万〜8万円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施工前後の写真報告書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管理会社・オーナー様の住戸は完了後の請求（月末締め翌月末払いなど）が一般的で、オフィスの原状回復は契約時に 30% の前金、引渡し後に残金とします。着工後に判明した追加は、写真と金額をご確認いただいてから行います。有効期限は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¥262,900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¥262,900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原状回復工事の見積書テンプレート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