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件名：［SEO対策］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¥429,000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内部対策調査（クロール・表示速度・インデックス）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参考：10万〜30万円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キーワード調査・コンテンツ設計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参考：5万〜20万円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ページ改善（タイトル・見出し・内部リンク）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参考：5千〜1万5千円／ページ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ページ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SEO 記事制作（3,000〜5,000 字）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参考：2万〜6万円／本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本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MEO（Google ビジネスプロフィール運用）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参考：1万〜4万円／月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¥60,000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順位・流入の月次レポート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参考：込み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調査とキーワード設計は発注時に 50%、納品時に残金をいただきます。月額作業は前払いで最低 6 か月、以降は 1 か月前の予告で解約できます。検索順位と流入は検索エンジンの仕様に左右されるため、保証はいたしません。有効期限は 30 日。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¥390,000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¥390,000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¥39,000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¥429,000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¥429,000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SEO対策の見積書テンプレート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