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15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拆除及廢棄物清運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參考價：NT$15,000–40,000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泥作（地坪整平、貼磚，含材料）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參考價：NT$4,500–9,000／坪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NT$54,000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水電配管配線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參考價：NT$30,000–80,000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輕隔間（含材料）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參考價：NT$3,500–6,000／坪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機具租用（吊車、高空作業車）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參考價：NT$6,000–15,000／天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天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工地管理費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參考價：直接工程費的 5–10%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7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利潤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參考價：直接工程費的 5–10%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常見做法是簽約付 30% 訂金、主要工項完成（例如水電、泥作完成）付 40%、驗收完成付 30%；也有業主會從尾款保留 5–10% 當保固金，保固期滿再付。報價有效期多寫 15–30 天，並註明「圖面或範圍變更、追加減項，以雙方書面確認的追加減帳單為準」。業主是公司的話，記得寫上對方統編。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NT$6,650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NT$139,650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NT$41,895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NT$97,755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15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