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報價項目：［圍牆車棚工程］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庭院地坪（RC 打底＋鋼筋網）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參考價：NT$3,500–7,000／坪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15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NT$3,500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NT$52,500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鋁合金車棚（雙車位）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參考價：NT$80,000–180,000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組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磚造圍牆（高 1.5 米，含粉光）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參考價：NT$4,000–9,000／米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米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鋁格柵圍籬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參考價：NT$3,500–8,000／米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15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米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NT$3,500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NT$52,500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門柱與信箱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參考價：NT$15,000–45,000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NT$15,000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NT$15,000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開挖與廢土清運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參考價：NT$5,000–10,000／車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車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NT$15,000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簽約付 30% 訂金訂料，鋼筋綁好、灌漿前業主確認後付 40%，完工付尾款。灌漿日期受天候影響；模板完成後若要改尺寸，另行報價。報價有效期 30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NT$295,000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NT$14,750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NT$309,750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訂金（30%）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NT$92,925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NT$216,825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圍牆車棚工程報價單範本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