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報價項目：［商業空間裝修］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輕鋼架隔間（雙面石膏板、含隔音棉）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參考價：NT$4,500–7,500／坪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NT$67,500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系統天花板（礦纖板 60×60）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參考價：NT$1,800–3,200／坪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NT$1,800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地坪（方塊地毯或塑膠地磚）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參考價：NT$1,800–4,000／坪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門扇與門框（含五金）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參考價：NT$12,000–35,000／樘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樘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燈具與插座配置（合格水電）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參考價：NT$150,000–500,000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NT$150,000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夜間施工加成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參考價：NT$8,000–25,000／晚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晚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常見簽約付 20% 訂金，用來備門扇、玻璃這類交期長的材料，依隔間、天花、完工三階段請款，尾款保留 5–10% 待缺失改善後付清。商業案件請業主提供公司抬頭與統編，報價為未稅、另加 5% 營業稅。報價有效期 30 天，變更一律書面確認後施作。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NT$509,500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NT$25,475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NT$534,975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訂金（20%）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NT$106,995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NT$427,980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商業空間裝修報價單範本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