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報價項目：［退租復原工程］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拆除隔間與增設裝修（含清運）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牆面批土油漆復原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地坪恢復（拆地毯、補地磚或換方塊地毯）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參考價：NT$800–2,500／坪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天花板、燈具與插座恢復原配置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參考價：NT$30,000–150,000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完工細清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參考價：NT$8,000–25,000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點交前後照片紀錄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退租復原多半時程緊，常見簽約付 30% 訂金後排工，完工點交後付尾款。公司行號請提供抬頭與統編，報價為未稅、另加 5% 營業稅；拆除後發現的問題另行報價。報價有效期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NT$137,000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NT$6,850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NT$143,850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NT$143,850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退租復原工程報價單範本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