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報價項目：［SEO 優化］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網站技術健檢（爬行、速度、索引）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參考價：NT$15,000–50,000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NT$15,000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關鍵字研究與內容規劃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參考價：NT$10,000–30,000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頁面優化：標題、內文結構、內部連結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參考價：NT$800–2,000／頁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頁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NT$16,000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SEO 文章（1,500–2,500 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參考價：NT$2,500–8,000／篇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篇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Google 商家檔案經營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參考價：NT$3,000–8,000／月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每月排名與流量報告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健檢與關鍵字研究簽約先付 50%，交付時付清；月服務費每月預收，最短 6 個月，之後提前 30 天通知終止。排名與流量受搜尋引擎影響，不做保證。報價有效期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NT$3,450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NT$72,450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NT$72,450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優化報價單範本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